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52A97" w14:textId="7123062A" w:rsidR="00CC74EA" w:rsidRPr="00270FC5" w:rsidRDefault="00CC74EA" w:rsidP="00CC74EA">
      <w:pPr>
        <w:pStyle w:val="lineitem1spbold10"/>
        <w:spacing w:line="360" w:lineRule="auto"/>
        <w:jc w:val="center"/>
        <w:rPr>
          <w:rFonts w:ascii="Times New Roman" w:hAnsi="Times New Roman" w:cs="Times New Roman"/>
          <w:sz w:val="28"/>
          <w:szCs w:val="32"/>
        </w:rPr>
      </w:pPr>
      <w:bookmarkStart w:id="0" w:name="_GoBack"/>
      <w:r w:rsidRPr="00270FC5">
        <w:rPr>
          <w:rFonts w:ascii="Times New Roman" w:hAnsi="Times New Roman" w:cs="Times New Roman"/>
          <w:sz w:val="28"/>
          <w:szCs w:val="32"/>
        </w:rPr>
        <w:t>Exhibit B1</w:t>
      </w:r>
    </w:p>
    <w:bookmarkEnd w:id="0"/>
    <w:p w14:paraId="7ADF992D"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6F0447A2"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123D0E76" w14:textId="77777777" w:rsidR="00CC74EA" w:rsidRPr="0058694E" w:rsidRDefault="00CC74EA" w:rsidP="00CC74EA">
      <w:pPr>
        <w:pStyle w:val="Heading4"/>
        <w:ind w:left="630"/>
      </w:pPr>
      <w:r w:rsidRPr="0058694E">
        <w:t>Personnel</w:t>
      </w:r>
    </w:p>
    <w:p w14:paraId="4B607B0A"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4F5D14FC"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40FAE608"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4579C9E"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60203FD3"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503D672E"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EAC2E45" w14:textId="77777777" w:rsidR="00CC74EA" w:rsidRPr="0058694E" w:rsidRDefault="00CC74EA" w:rsidP="00CC74EA">
      <w:pPr>
        <w:pStyle w:val="Heading4"/>
        <w:ind w:left="630"/>
        <w:rPr>
          <w:sz w:val="20"/>
        </w:rPr>
      </w:pPr>
      <w:r w:rsidRPr="0058694E">
        <w:rPr>
          <w:sz w:val="20"/>
        </w:rPr>
        <w:t xml:space="preserve">Travel </w:t>
      </w:r>
    </w:p>
    <w:p w14:paraId="0E77EFC0"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A3554B2"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5AFEF021" w14:textId="77777777" w:rsidR="00CC74EA" w:rsidRPr="0058694E" w:rsidRDefault="00CC74EA" w:rsidP="00CC74EA">
      <w:pPr>
        <w:pStyle w:val="Heading4"/>
        <w:ind w:left="630"/>
        <w:rPr>
          <w:sz w:val="20"/>
        </w:rPr>
      </w:pPr>
      <w:r w:rsidRPr="0058694E">
        <w:rPr>
          <w:sz w:val="20"/>
        </w:rPr>
        <w:t xml:space="preserve">Materials and Supplies </w:t>
      </w:r>
    </w:p>
    <w:p w14:paraId="014EF610"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4D426FA5"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C1F0C0" w14:textId="77777777" w:rsidR="00CC74EA" w:rsidRPr="0058694E" w:rsidRDefault="00CC74EA" w:rsidP="00CC74EA">
      <w:pPr>
        <w:pStyle w:val="Heading4"/>
        <w:ind w:left="630"/>
        <w:rPr>
          <w:sz w:val="20"/>
        </w:rPr>
      </w:pPr>
      <w:r w:rsidRPr="0058694E">
        <w:rPr>
          <w:sz w:val="20"/>
        </w:rPr>
        <w:t xml:space="preserve">Equipment </w:t>
      </w:r>
    </w:p>
    <w:p w14:paraId="133DB298"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40F9379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3D5F1BF" w14:textId="77777777" w:rsidR="00CC74EA" w:rsidRPr="0058694E" w:rsidRDefault="00CC74EA" w:rsidP="00CC74EA">
      <w:pPr>
        <w:pStyle w:val="Heading4"/>
        <w:ind w:left="630"/>
        <w:rPr>
          <w:sz w:val="20"/>
        </w:rPr>
      </w:pPr>
      <w:r w:rsidRPr="0058694E">
        <w:rPr>
          <w:sz w:val="20"/>
        </w:rPr>
        <w:t xml:space="preserve">Consultant Costs </w:t>
      </w:r>
    </w:p>
    <w:p w14:paraId="31A80314"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158AF62D"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0F12E302"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29B8237" w14:textId="77777777" w:rsidR="00CC74EA" w:rsidRPr="0058694E" w:rsidRDefault="00CC74EA" w:rsidP="00CC74EA">
      <w:pPr>
        <w:pStyle w:val="Heading4"/>
        <w:ind w:left="630"/>
        <w:rPr>
          <w:sz w:val="20"/>
        </w:rPr>
      </w:pPr>
      <w:r w:rsidRPr="0058694E">
        <w:rPr>
          <w:sz w:val="20"/>
        </w:rPr>
        <w:t xml:space="preserve">Subawardee (Consortium/Subrecipient) Costs </w:t>
      </w:r>
    </w:p>
    <w:p w14:paraId="02DF648E"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4F2156A1"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D053D6D" w14:textId="77777777" w:rsidR="00CC74EA" w:rsidRPr="0058694E" w:rsidRDefault="00CC74EA" w:rsidP="00CC74EA">
      <w:pPr>
        <w:pStyle w:val="Heading4"/>
        <w:ind w:left="630"/>
        <w:rPr>
          <w:sz w:val="20"/>
        </w:rPr>
      </w:pPr>
      <w:r w:rsidRPr="0058694E">
        <w:rPr>
          <w:sz w:val="20"/>
        </w:rPr>
        <w:t xml:space="preserve">Other Direct Costs </w:t>
      </w:r>
    </w:p>
    <w:p w14:paraId="5D124E6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58694E">
        <w:rPr>
          <w:i/>
          <w:sz w:val="18"/>
        </w:rPr>
        <w:t xml:space="preserve">, telecommunication, or </w:t>
      </w:r>
      <w:r w:rsidRPr="0058694E">
        <w:rPr>
          <w:rFonts w:ascii="Times New Roman" w:hAnsi="Times New Roman"/>
          <w:i/>
          <w:sz w:val="18"/>
        </w:rPr>
        <w:t>IT costs are charged as a direct expense, explain reason and methodology</w:t>
      </w:r>
      <w:r w:rsidRPr="0058694E">
        <w:rPr>
          <w:i/>
          <w:sz w:val="18"/>
        </w:rPr>
        <w:t>.</w:t>
      </w:r>
    </w:p>
    <w:p w14:paraId="225663B1"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673B3F76" w14:textId="77777777" w:rsidR="00CC74EA" w:rsidRPr="0058694E" w:rsidRDefault="00CC74EA" w:rsidP="00CC74EA">
      <w:pPr>
        <w:pStyle w:val="Heading4"/>
        <w:ind w:left="720" w:hanging="360"/>
        <w:rPr>
          <w:sz w:val="20"/>
        </w:rPr>
      </w:pPr>
      <w:r w:rsidRPr="0058694E">
        <w:rPr>
          <w:sz w:val="20"/>
        </w:rPr>
        <w:t>Rent</w:t>
      </w:r>
    </w:p>
    <w:p w14:paraId="66FE7A9D" w14:textId="77777777" w:rsidR="00CC74EA" w:rsidRPr="0058694E" w:rsidRDefault="00CC74EA" w:rsidP="00CC74EA">
      <w:pPr>
        <w:ind w:left="540"/>
        <w:rPr>
          <w:i/>
          <w:sz w:val="20"/>
        </w:rPr>
      </w:pPr>
      <w:r w:rsidRPr="0058694E">
        <w:rPr>
          <w:rFonts w:ascii="Times New Roman" w:hAnsi="Times New Roman"/>
          <w:i/>
          <w:sz w:val="18"/>
        </w:rPr>
        <w:t>If the scope of work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4BB2D6B1"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6E30F3B" w14:textId="77777777" w:rsidR="00CC74EA" w:rsidRPr="0058694E" w:rsidRDefault="00CC74EA" w:rsidP="00CC74EA">
      <w:pPr>
        <w:pStyle w:val="Heading4"/>
        <w:ind w:left="630"/>
        <w:rPr>
          <w:sz w:val="20"/>
        </w:rPr>
      </w:pPr>
      <w:r w:rsidRPr="0058694E">
        <w:rPr>
          <w:sz w:val="20"/>
        </w:rPr>
        <w:t>Indirect (F&amp;A) Costs</w:t>
      </w:r>
    </w:p>
    <w:p w14:paraId="6FCC167C"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University </w:t>
      </w:r>
      <w:r>
        <w:rPr>
          <w:i/>
          <w:sz w:val="18"/>
        </w:rPr>
        <w:t>budgeted</w:t>
      </w:r>
      <w:r w:rsidRPr="0058694E">
        <w:rPr>
          <w:i/>
          <w:sz w:val="18"/>
        </w:rPr>
        <w:t xml:space="preserve"> indirect cost rate</w:t>
      </w:r>
      <w:r>
        <w:rPr>
          <w:i/>
          <w:sz w:val="18"/>
        </w:rPr>
        <w:t xml:space="preserve"> in Exhibit B.</w:t>
      </w:r>
    </w:p>
    <w:p w14:paraId="03877AE7"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7F829A19" w14:textId="3FDFC25B" w:rsidR="00CC74EA" w:rsidRPr="00402817" w:rsidRDefault="00CC74EA" w:rsidP="00CC74EA">
      <w:pPr>
        <w:pStyle w:val="lineitem1spbold10"/>
        <w:spacing w:line="360" w:lineRule="auto"/>
        <w:rPr>
          <w:rFonts w:ascii="Times New Roman" w:hAnsi="Times New Roman" w:cs="Times New Roman"/>
          <w:b w:val="0"/>
          <w:sz w:val="24"/>
          <w:szCs w:val="32"/>
        </w:rPr>
      </w:pPr>
    </w:p>
    <w:sectPr w:rsidR="00CC74EA" w:rsidRPr="00402817" w:rsidSect="006564A4">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8FBB" w14:textId="77777777" w:rsidR="00B8232C" w:rsidRDefault="00B8232C" w:rsidP="00CC74EA">
      <w:r>
        <w:separator/>
      </w:r>
    </w:p>
  </w:endnote>
  <w:endnote w:type="continuationSeparator" w:id="0">
    <w:p w14:paraId="54E7F149" w14:textId="77777777" w:rsidR="00B8232C" w:rsidRDefault="00B8232C"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27FA2" w14:textId="77777777" w:rsidR="00B8232C" w:rsidRDefault="00B8232C" w:rsidP="00CC74EA">
      <w:r>
        <w:separator/>
      </w:r>
    </w:p>
  </w:footnote>
  <w:footnote w:type="continuationSeparator" w:id="0">
    <w:p w14:paraId="04EC772A" w14:textId="77777777" w:rsidR="00B8232C" w:rsidRDefault="00B8232C" w:rsidP="00CC7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26B35"/>
    <w:rsid w:val="00027B1A"/>
    <w:rsid w:val="000427AD"/>
    <w:rsid w:val="00056059"/>
    <w:rsid w:val="00056ADF"/>
    <w:rsid w:val="0007326C"/>
    <w:rsid w:val="00106B72"/>
    <w:rsid w:val="00155AD9"/>
    <w:rsid w:val="00157C92"/>
    <w:rsid w:val="00170201"/>
    <w:rsid w:val="00177679"/>
    <w:rsid w:val="001938D1"/>
    <w:rsid w:val="00211805"/>
    <w:rsid w:val="00222E83"/>
    <w:rsid w:val="00250AC9"/>
    <w:rsid w:val="002A65B8"/>
    <w:rsid w:val="0033333A"/>
    <w:rsid w:val="00357E1C"/>
    <w:rsid w:val="00384580"/>
    <w:rsid w:val="003953A7"/>
    <w:rsid w:val="003B0C0C"/>
    <w:rsid w:val="003B0D4F"/>
    <w:rsid w:val="003D03D1"/>
    <w:rsid w:val="003D680B"/>
    <w:rsid w:val="003E4698"/>
    <w:rsid w:val="003F3F17"/>
    <w:rsid w:val="00407C6A"/>
    <w:rsid w:val="00410930"/>
    <w:rsid w:val="00432F52"/>
    <w:rsid w:val="0044616B"/>
    <w:rsid w:val="00455A68"/>
    <w:rsid w:val="0047061A"/>
    <w:rsid w:val="00494E88"/>
    <w:rsid w:val="004A0BBB"/>
    <w:rsid w:val="004A3E84"/>
    <w:rsid w:val="004A4D03"/>
    <w:rsid w:val="004B382A"/>
    <w:rsid w:val="00505D97"/>
    <w:rsid w:val="0052757F"/>
    <w:rsid w:val="0054611B"/>
    <w:rsid w:val="00557ADF"/>
    <w:rsid w:val="005B173D"/>
    <w:rsid w:val="005D1648"/>
    <w:rsid w:val="005E23C8"/>
    <w:rsid w:val="005F5D21"/>
    <w:rsid w:val="00612455"/>
    <w:rsid w:val="006564A4"/>
    <w:rsid w:val="006C07ED"/>
    <w:rsid w:val="006D1E0C"/>
    <w:rsid w:val="006E4F7E"/>
    <w:rsid w:val="006E5A20"/>
    <w:rsid w:val="006F5CAE"/>
    <w:rsid w:val="00737B19"/>
    <w:rsid w:val="00740AB8"/>
    <w:rsid w:val="0079520C"/>
    <w:rsid w:val="007A543F"/>
    <w:rsid w:val="007B3E50"/>
    <w:rsid w:val="00845252"/>
    <w:rsid w:val="00863281"/>
    <w:rsid w:val="008722ED"/>
    <w:rsid w:val="00885365"/>
    <w:rsid w:val="008F090D"/>
    <w:rsid w:val="008F2F02"/>
    <w:rsid w:val="00916FDD"/>
    <w:rsid w:val="00963BB8"/>
    <w:rsid w:val="009A7777"/>
    <w:rsid w:val="009B2CA6"/>
    <w:rsid w:val="00A3201A"/>
    <w:rsid w:val="00AA2ADD"/>
    <w:rsid w:val="00AB18D5"/>
    <w:rsid w:val="00AB2B57"/>
    <w:rsid w:val="00AB4A73"/>
    <w:rsid w:val="00AC1367"/>
    <w:rsid w:val="00AD6E87"/>
    <w:rsid w:val="00AE3137"/>
    <w:rsid w:val="00B3086D"/>
    <w:rsid w:val="00B72CA2"/>
    <w:rsid w:val="00B8232C"/>
    <w:rsid w:val="00B97970"/>
    <w:rsid w:val="00BA75E1"/>
    <w:rsid w:val="00BC4557"/>
    <w:rsid w:val="00BC5F81"/>
    <w:rsid w:val="00BC6EB6"/>
    <w:rsid w:val="00BF3878"/>
    <w:rsid w:val="00C01CE5"/>
    <w:rsid w:val="00C0503F"/>
    <w:rsid w:val="00C730CD"/>
    <w:rsid w:val="00C86776"/>
    <w:rsid w:val="00CB22E7"/>
    <w:rsid w:val="00CC74EA"/>
    <w:rsid w:val="00CD5751"/>
    <w:rsid w:val="00CF1C24"/>
    <w:rsid w:val="00CF6EA1"/>
    <w:rsid w:val="00D05457"/>
    <w:rsid w:val="00D257B2"/>
    <w:rsid w:val="00D63046"/>
    <w:rsid w:val="00D9394A"/>
    <w:rsid w:val="00DA5D3D"/>
    <w:rsid w:val="00DF542B"/>
    <w:rsid w:val="00E22CBB"/>
    <w:rsid w:val="00EA4F16"/>
    <w:rsid w:val="00EB20C9"/>
    <w:rsid w:val="00EE1F25"/>
    <w:rsid w:val="00EE7E94"/>
    <w:rsid w:val="00F32E11"/>
    <w:rsid w:val="00F36AFC"/>
    <w:rsid w:val="00F54B70"/>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EC755"/>
  <w15:docId w15:val="{40EA5830-6417-43F8-B5B4-3F454CFE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5857-7194-4C00-A203-B494C9A6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Kassie Obelleiro</cp:lastModifiedBy>
  <cp:revision>2</cp:revision>
  <cp:lastPrinted>2017-08-25T22:48:00Z</cp:lastPrinted>
  <dcterms:created xsi:type="dcterms:W3CDTF">2017-10-30T19:51:00Z</dcterms:created>
  <dcterms:modified xsi:type="dcterms:W3CDTF">2017-10-30T19:51:00Z</dcterms:modified>
</cp:coreProperties>
</file>